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A26" w:rsidRDefault="00DD1A26">
      <w:r>
        <w:t>Hola, Paco:</w:t>
      </w:r>
    </w:p>
    <w:p w:rsidR="00DD1A26" w:rsidRDefault="00DD1A26">
      <w:r>
        <w:t>La estructura nueva que queda:</w:t>
      </w:r>
    </w:p>
    <w:tbl>
      <w:tblPr>
        <w:tblStyle w:val="Cuadrculaclara-nfasis6"/>
        <w:tblW w:w="0" w:type="auto"/>
        <w:jc w:val="center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FFFFFF" w:themeColor="background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4"/>
        <w:gridCol w:w="1757"/>
        <w:gridCol w:w="1454"/>
        <w:gridCol w:w="1666"/>
        <w:gridCol w:w="1639"/>
      </w:tblGrid>
      <w:tr w:rsidR="00DD1A26" w:rsidRPr="00CC7F82" w:rsidTr="00F315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98" w:type="dxa"/>
            <w:gridSpan w:val="5"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shd w:val="clear" w:color="auto" w:fill="auto"/>
            <w:vAlign w:val="center"/>
          </w:tcPr>
          <w:p w:rsidR="00DD1A26" w:rsidRPr="00CC7F82" w:rsidRDefault="00DD1A26" w:rsidP="00F3152C">
            <w:pPr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CC7F82">
              <w:rPr>
                <w:rFonts w:asciiTheme="minorHAnsi" w:hAnsiTheme="minorHAnsi" w:cstheme="minorHAnsi"/>
                <w:sz w:val="18"/>
                <w:szCs w:val="18"/>
              </w:rPr>
              <w:t xml:space="preserve">Tabla 1.3. </w:t>
            </w:r>
            <w:r w:rsidRPr="00DD1A26">
              <w:rPr>
                <w:rFonts w:asciiTheme="minorHAnsi" w:hAnsiTheme="minorHAnsi" w:cstheme="minorHAnsi"/>
                <w:b w:val="0"/>
                <w:color w:val="FF0000"/>
                <w:sz w:val="18"/>
                <w:szCs w:val="18"/>
              </w:rPr>
              <w:t>Número total de colecciones biológicas y bases de datos en España con recursos compartidos, y de registros, según el tipo de información, recogidos en los años 2012 (hasta el 1</w:t>
            </w:r>
            <w:r w:rsidRPr="00DD1A26">
              <w:rPr>
                <w:rFonts w:asciiTheme="minorHAnsi" w:hAnsiTheme="minorHAnsi" w:cstheme="minorHAnsi"/>
                <w:b w:val="0"/>
                <w:color w:val="FF0000"/>
                <w:sz w:val="18"/>
                <w:szCs w:val="18"/>
                <w:vertAlign w:val="superscript"/>
              </w:rPr>
              <w:t>er</w:t>
            </w:r>
            <w:r w:rsidRPr="00DD1A26">
              <w:rPr>
                <w:rFonts w:asciiTheme="minorHAnsi" w:hAnsiTheme="minorHAnsi" w:cstheme="minorHAnsi"/>
                <w:b w:val="0"/>
                <w:color w:val="FF0000"/>
                <w:sz w:val="18"/>
                <w:szCs w:val="18"/>
              </w:rPr>
              <w:t xml:space="preserve"> semestre) y 2014 (hasta diciembre).</w:t>
            </w:r>
          </w:p>
          <w:p w:rsidR="00DD1A26" w:rsidRPr="00CC7F82" w:rsidRDefault="00DD1A26" w:rsidP="00F3152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D1A26" w:rsidRPr="00C96B1D" w:rsidTr="00F31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1F497D" w:themeColor="text2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  <w:vAlign w:val="center"/>
          </w:tcPr>
          <w:p w:rsidR="00DD1A26" w:rsidRPr="00C96B1D" w:rsidRDefault="00DD1A26" w:rsidP="00F3152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Tipo de información</w:t>
            </w:r>
          </w:p>
        </w:tc>
        <w:tc>
          <w:tcPr>
            <w:tcW w:w="2643" w:type="dxa"/>
            <w:tcBorders>
              <w:top w:val="single" w:sz="12" w:space="0" w:color="1F497D" w:themeColor="text2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Nº de colecciones y bases de datos (hasta el 1</w:t>
            </w: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  <w:vertAlign w:val="superscript"/>
              </w:rPr>
              <w:t>er</w:t>
            </w: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semestre de 2012)</w:t>
            </w:r>
          </w:p>
        </w:tc>
        <w:tc>
          <w:tcPr>
            <w:tcW w:w="2166" w:type="dxa"/>
            <w:tcBorders>
              <w:top w:val="single" w:sz="12" w:space="0" w:color="1F497D" w:themeColor="text2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Nº de registros (hasta el 1</w:t>
            </w: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  <w:vertAlign w:val="superscript"/>
              </w:rPr>
              <w:t>er</w:t>
            </w: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semestre de 2012)</w:t>
            </w:r>
          </w:p>
        </w:tc>
        <w:tc>
          <w:tcPr>
            <w:tcW w:w="2410" w:type="dxa"/>
            <w:tcBorders>
              <w:top w:val="single" w:sz="12" w:space="0" w:color="1F497D" w:themeColor="text2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Nº de colecciones y bases de datos / Nº de recursos (hasta diciembre de 2014)</w:t>
            </w:r>
          </w:p>
        </w:tc>
        <w:tc>
          <w:tcPr>
            <w:tcW w:w="2532" w:type="dxa"/>
            <w:tcBorders>
              <w:top w:val="single" w:sz="12" w:space="0" w:color="1F497D" w:themeColor="text2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308990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Nº de registros</w:t>
            </w:r>
          </w:p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(hasta diciembre de 2014)</w:t>
            </w:r>
          </w:p>
        </w:tc>
      </w:tr>
      <w:tr w:rsidR="00DD1A26" w:rsidRPr="00C96B1D" w:rsidTr="00F315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Zoológica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63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spacing w:val="-6"/>
                <w:sz w:val="20"/>
                <w:szCs w:val="20"/>
              </w:rPr>
              <w:t>1 609 007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  <w14:numSpacing w14:val="tabular"/>
              </w:rPr>
            </w:pPr>
          </w:p>
        </w:tc>
      </w:tr>
      <w:tr w:rsidR="00DD1A26" w:rsidRPr="00C96B1D" w:rsidTr="00F31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pStyle w:val="Prrafodelista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Invertebrados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spacing w:val="-6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41 / 43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</w:p>
        </w:tc>
      </w:tr>
      <w:tr w:rsidR="00DD1A26" w:rsidRPr="00C96B1D" w:rsidTr="00F315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pStyle w:val="Prrafodelista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Vertebrados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25 / 25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pStyle w:val="Prrafodelista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D1A26" w:rsidRPr="00C96B1D" w:rsidTr="00F31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pStyle w:val="Prrafodelista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Invertebrados-vertebrados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3 / 4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D1A26" w:rsidRPr="00C96B1D" w:rsidTr="00F315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Botánica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spacing w:val="-6"/>
                <w:sz w:val="20"/>
                <w:szCs w:val="20"/>
              </w:rPr>
              <w:t>4 880 538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</w:p>
        </w:tc>
      </w:tr>
      <w:tr w:rsidR="00DD1A26" w:rsidRPr="00C96B1D" w:rsidTr="00F31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pStyle w:val="Prrafodelista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Plantas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70 / 70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auto"/>
            <w:vAlign w:val="center"/>
          </w:tcPr>
          <w:p w:rsidR="00DD1A26" w:rsidRPr="00C96B1D" w:rsidRDefault="00DD1A26" w:rsidP="00F3152C">
            <w:pPr>
              <w:pStyle w:val="Prrafodelista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D1A26" w:rsidRPr="00C96B1D" w:rsidTr="00F315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pStyle w:val="Prrafodelista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Algas (incl. cianobacterias)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2 / 2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pStyle w:val="Prrafodelista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D1A26" w:rsidRPr="00C96B1D" w:rsidTr="00F31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pStyle w:val="Prrafodelista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Hongos (incl. líquenes)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10 / 10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FFFFFF" w:themeFill="background1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D1A26" w:rsidRPr="00C96B1D" w:rsidTr="00F315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Microbiológica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spacing w:val="-6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2 / 2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  <w14:numSpacing w14:val="tabular"/>
              </w:rPr>
            </w:pPr>
          </w:p>
        </w:tc>
      </w:tr>
      <w:tr w:rsidR="00DD1A26" w:rsidRPr="00C96B1D" w:rsidTr="00F31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Paleontológica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:rsidR="00DD1A26" w:rsidRPr="00C96B1D" w:rsidRDefault="00DD1A26" w:rsidP="00F31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spacing w:val="-6"/>
                <w:sz w:val="20"/>
                <w:szCs w:val="20"/>
              </w:rPr>
              <w:t>12 974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2 / 2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FFFFFF" w:themeFill="background1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  <w14:numSpacing w14:val="tabular"/>
              </w:rPr>
            </w:pPr>
          </w:p>
        </w:tc>
      </w:tr>
      <w:tr w:rsidR="00DD1A26" w:rsidRPr="00C96B1D" w:rsidTr="00F315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308990"/>
          </w:tcPr>
          <w:p w:rsidR="00DD1A26" w:rsidRPr="00C96B1D" w:rsidRDefault="00DD1A26" w:rsidP="00F3152C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Mixta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spacing w:val="-6"/>
                <w:sz w:val="20"/>
                <w:szCs w:val="20"/>
              </w:rPr>
              <w:t>1 014 352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96B1D">
              <w:rPr>
                <w:rFonts w:cstheme="minorHAnsi"/>
                <w:sz w:val="20"/>
                <w:szCs w:val="20"/>
              </w:rPr>
              <w:t>6 /14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1F497D" w:themeColor="text2"/>
            </w:tcBorders>
            <w:shd w:val="clear" w:color="auto" w:fill="B6DDE8" w:themeFill="accent5" w:themeFillTint="66"/>
            <w:vAlign w:val="center"/>
          </w:tcPr>
          <w:p w:rsidR="00DD1A26" w:rsidRPr="00C96B1D" w:rsidRDefault="00DD1A26" w:rsidP="00F3152C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pacing w:val="-6"/>
                <w:sz w:val="20"/>
                <w:szCs w:val="20"/>
              </w:rPr>
            </w:pPr>
          </w:p>
        </w:tc>
      </w:tr>
      <w:tr w:rsidR="00DD1A26" w:rsidRPr="00C96B1D" w:rsidTr="00F31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2" w:space="0" w:color="FFFFFF" w:themeColor="background1"/>
              <w:left w:val="single" w:sz="12" w:space="0" w:color="1F497D" w:themeColor="text2"/>
              <w:bottom w:val="single" w:sz="12" w:space="0" w:color="1F497D" w:themeColor="text2"/>
              <w:right w:val="single" w:sz="12" w:space="0" w:color="FFFFFF" w:themeColor="background1"/>
            </w:tcBorders>
            <w:shd w:val="clear" w:color="auto" w:fill="215E63"/>
          </w:tcPr>
          <w:p w:rsidR="00DD1A26" w:rsidRPr="00C96B1D" w:rsidRDefault="00DD1A26" w:rsidP="00F3152C">
            <w:pPr>
              <w:jc w:val="both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C96B1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264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1F497D" w:themeColor="text2"/>
              <w:right w:val="single" w:sz="12" w:space="0" w:color="FFFFFF" w:themeColor="background1"/>
            </w:tcBorders>
            <w:shd w:val="clear" w:color="auto" w:fill="215E63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pacing w:val="-6"/>
                <w:sz w:val="20"/>
                <w:szCs w:val="20"/>
              </w:rPr>
              <w:t>145</w:t>
            </w:r>
          </w:p>
        </w:tc>
        <w:tc>
          <w:tcPr>
            <w:tcW w:w="216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1F497D" w:themeColor="text2"/>
              <w:right w:val="single" w:sz="12" w:space="0" w:color="FFFFFF" w:themeColor="background1"/>
            </w:tcBorders>
            <w:shd w:val="clear" w:color="auto" w:fill="215E63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pacing w:val="-6"/>
                <w:sz w:val="20"/>
                <w:szCs w:val="20"/>
              </w:rPr>
              <w:t>7 516 871</w:t>
            </w:r>
          </w:p>
        </w:tc>
        <w:tc>
          <w:tcPr>
            <w:tcW w:w="24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1F497D" w:themeColor="text2"/>
              <w:right w:val="single" w:sz="12" w:space="0" w:color="FFFFFF" w:themeColor="background1"/>
            </w:tcBorders>
            <w:shd w:val="clear" w:color="auto" w:fill="215E63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pacing w:val="-6"/>
                <w:sz w:val="20"/>
                <w:szCs w:val="20"/>
              </w:rPr>
              <w:t>147 / 172</w:t>
            </w:r>
          </w:p>
        </w:tc>
        <w:tc>
          <w:tcPr>
            <w:tcW w:w="253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1F497D" w:themeColor="text2"/>
              <w:right w:val="single" w:sz="12" w:space="0" w:color="1F497D" w:themeColor="text2"/>
            </w:tcBorders>
            <w:shd w:val="clear" w:color="auto" w:fill="215E63"/>
          </w:tcPr>
          <w:p w:rsidR="00DD1A26" w:rsidRPr="00C96B1D" w:rsidRDefault="00DD1A26" w:rsidP="00F3152C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color w:val="FFFFFF" w:themeColor="background1"/>
                <w:spacing w:val="-6"/>
                <w:sz w:val="20"/>
                <w:szCs w:val="20"/>
              </w:rPr>
            </w:pPr>
            <w:r w:rsidRPr="00C96B1D">
              <w:rPr>
                <w:rFonts w:cstheme="minorHAnsi"/>
                <w:b/>
                <w:color w:val="FFFFFF" w:themeColor="background1"/>
                <w:spacing w:val="-6"/>
                <w:sz w:val="20"/>
                <w:szCs w:val="20"/>
              </w:rPr>
              <w:t>10 196 643</w:t>
            </w:r>
          </w:p>
        </w:tc>
      </w:tr>
    </w:tbl>
    <w:p w:rsidR="00DD1A26" w:rsidRDefault="00DD1A26"/>
    <w:p w:rsidR="00DD1A26" w:rsidRDefault="00DD1A26">
      <w:r>
        <w:t xml:space="preserve">En la tabla original de Pablo, la primera columna pone </w:t>
      </w:r>
      <w:r w:rsidRPr="0066217D">
        <w:rPr>
          <w:color w:val="FF0000"/>
        </w:rPr>
        <w:t>colecciones y bases de datos</w:t>
      </w:r>
      <w:r>
        <w:t xml:space="preserve">, pero entiendo que 142 en realidad son </w:t>
      </w:r>
      <w:r w:rsidRPr="0066217D">
        <w:rPr>
          <w:b/>
          <w:color w:val="76923C" w:themeColor="accent3" w:themeShade="BF"/>
        </w:rPr>
        <w:t>recursos</w:t>
      </w:r>
      <w:r>
        <w:t>, por eso la tercera columna que he generado figura así.</w:t>
      </w:r>
      <w:r w:rsidR="0066217D">
        <w:t xml:space="preserve"> </w:t>
      </w:r>
    </w:p>
    <w:p w:rsidR="0066217D" w:rsidRDefault="00DD1A26" w:rsidP="0066217D">
      <w:r>
        <w:t xml:space="preserve">De </w:t>
      </w:r>
      <w:r w:rsidR="0066217D">
        <w:t>esas</w:t>
      </w:r>
      <w:r>
        <w:t xml:space="preserve"> 142 colecciones y bases de datos, hay 11 </w:t>
      </w:r>
      <w:r w:rsidR="0066217D">
        <w:t xml:space="preserve">en las distintas categorías </w:t>
      </w:r>
      <w:r>
        <w:t>que comparten más de un recurso (</w:t>
      </w:r>
      <w:proofErr w:type="spellStart"/>
      <w:r>
        <w:t>subcolección</w:t>
      </w:r>
      <w:proofErr w:type="spellEnd"/>
      <w:r>
        <w:t>) y por eso sale</w:t>
      </w:r>
      <w:r w:rsidR="0066217D">
        <w:t>n 172</w:t>
      </w:r>
      <w:r w:rsidR="00C96B1D">
        <w:t xml:space="preserve"> (recursos totales)</w:t>
      </w:r>
      <w:r w:rsidR="0066217D">
        <w:t>, que son las compartidas.</w:t>
      </w:r>
      <w:bookmarkStart w:id="0" w:name="_GoBack"/>
      <w:bookmarkEnd w:id="0"/>
    </w:p>
    <w:p w:rsidR="0066217D" w:rsidRDefault="00C96B1D" w:rsidP="0066217D">
      <w:r>
        <w:t>En el Anexo 1 figuran l</w:t>
      </w:r>
      <w:r w:rsidR="0066217D">
        <w:t>as colecciones</w:t>
      </w:r>
      <w:r>
        <w:t xml:space="preserve"> y bases de datos, y en el caso de tener asociados varios recursos compartidos se han sumado los registros. Esto ocurre con:</w:t>
      </w:r>
      <w:r w:rsidR="0066217D">
        <w:t xml:space="preserve"> SANT, FCO, MA-</w:t>
      </w:r>
      <w:proofErr w:type="spellStart"/>
      <w:r w:rsidR="0066217D">
        <w:t>Crypto</w:t>
      </w:r>
      <w:proofErr w:type="spellEnd"/>
      <w:r w:rsidR="0066217D">
        <w:t>, BCN y BC, que figuran como botánicas en el Anexo 1</w:t>
      </w:r>
      <w:r>
        <w:t>. Pienso que</w:t>
      </w:r>
      <w:r w:rsidR="0066217D">
        <w:t xml:space="preserve"> </w:t>
      </w:r>
      <w:r>
        <w:t>pueden crear</w:t>
      </w:r>
      <w:r w:rsidR="0066217D">
        <w:t xml:space="preserve"> cierta</w:t>
      </w:r>
      <w:r>
        <w:t xml:space="preserve"> confusión e</w:t>
      </w:r>
      <w:r>
        <w:t>n las estadísticas</w:t>
      </w:r>
      <w:r>
        <w:t xml:space="preserve"> porque incluyen recursos de plantas, hongos y algas. </w:t>
      </w:r>
    </w:p>
    <w:p w:rsidR="0066217D" w:rsidRDefault="0066217D" w:rsidP="0066217D"/>
    <w:p w:rsidR="0066217D" w:rsidRDefault="0066217D" w:rsidP="0066217D"/>
    <w:p w:rsidR="00DD1A26" w:rsidRDefault="00DD1A26"/>
    <w:sectPr w:rsidR="00DD1A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2"/>
    <w:rsid w:val="002C39E2"/>
    <w:rsid w:val="00474F05"/>
    <w:rsid w:val="0066217D"/>
    <w:rsid w:val="00C96B1D"/>
    <w:rsid w:val="00DD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1A26"/>
    <w:pPr>
      <w:ind w:left="720"/>
      <w:contextualSpacing/>
    </w:pPr>
  </w:style>
  <w:style w:type="table" w:styleId="Cuadrculaclara-nfasis6">
    <w:name w:val="Light Grid Accent 6"/>
    <w:basedOn w:val="Tablanormal"/>
    <w:uiPriority w:val="62"/>
    <w:rsid w:val="00DD1A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1A26"/>
    <w:pPr>
      <w:ind w:left="720"/>
      <w:contextualSpacing/>
    </w:pPr>
  </w:style>
  <w:style w:type="table" w:styleId="Cuadrculaclara-nfasis6">
    <w:name w:val="Light Grid Accent 6"/>
    <w:basedOn w:val="Tablanormal"/>
    <w:uiPriority w:val="62"/>
    <w:rsid w:val="00DD1A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2</cp:revision>
  <dcterms:created xsi:type="dcterms:W3CDTF">2015-03-23T12:19:00Z</dcterms:created>
  <dcterms:modified xsi:type="dcterms:W3CDTF">2015-03-23T13:03:00Z</dcterms:modified>
</cp:coreProperties>
</file>